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7AE1D6BF" w:rsidR="00AF3657" w:rsidRPr="00E57EBE" w:rsidRDefault="0074024E" w:rsidP="00AF3657">
      <w:pPr>
        <w:pStyle w:val="Docketnumber"/>
        <w:rPr>
          <w:sz w:val="24"/>
          <w:szCs w:val="24"/>
        </w:rPr>
      </w:pPr>
      <w:r>
        <w:rPr>
          <w:sz w:val="24"/>
          <w:szCs w:val="24"/>
        </w:rPr>
        <w:t xml:space="preserve">DOCKET NO. </w:t>
      </w:r>
      <w:r w:rsidR="002561D8">
        <w:rPr>
          <w:sz w:val="24"/>
          <w:szCs w:val="24"/>
        </w:rPr>
        <w:t>52101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1C1480AD" w:rsidR="00AF3657" w:rsidRPr="00486EB2" w:rsidRDefault="00A4534F" w:rsidP="0074024E">
            <w:pPr>
              <w:jc w:val="left"/>
              <w:rPr>
                <w:rFonts w:ascii="Times New Roman Bold" w:hAnsi="Times New Roman Bold"/>
                <w:b/>
                <w:caps/>
              </w:rPr>
            </w:pPr>
            <w:r>
              <w:rPr>
                <w:b/>
                <w:bCs/>
              </w:rPr>
              <w:t xml:space="preserve">PETITION OF </w:t>
            </w:r>
            <w:r w:rsidR="002561D8">
              <w:rPr>
                <w:b/>
                <w:bCs/>
              </w:rPr>
              <w:t>CCD-NORTHSKY, LLC</w:t>
            </w:r>
            <w:r>
              <w:rPr>
                <w:b/>
                <w:bCs/>
              </w:rPr>
              <w:t xml:space="preserve"> TO</w:t>
            </w:r>
            <w:r w:rsidR="002561D8">
              <w:rPr>
                <w:b/>
                <w:bCs/>
              </w:rPr>
              <w:t xml:space="preserve"> AMEND MARILEE SPECIAL UTILITY DISTRICT’S</w:t>
            </w:r>
            <w:r>
              <w:rPr>
                <w:b/>
                <w:bCs/>
              </w:rPr>
              <w:t xml:space="preserve"> CERTIFICATE OF CONVENIENCE AND NECESSITY IN </w:t>
            </w:r>
            <w:r w:rsidR="002561D8">
              <w:rPr>
                <w:b/>
                <w:bCs/>
              </w:rPr>
              <w:t>COLLIN COUNTY</w:t>
            </w:r>
            <w:r w:rsidR="00B15D98">
              <w:rPr>
                <w:b/>
                <w:bCs/>
              </w:rPr>
              <w:t xml:space="preserve"> </w:t>
            </w:r>
            <w:r>
              <w:rPr>
                <w:b/>
                <w:bCs/>
              </w:rPr>
              <w:t>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68AE698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52D7056E" w:rsidR="00A720BC" w:rsidRPr="00261AFE" w:rsidRDefault="00A720BC" w:rsidP="00A720BC">
      <w:pPr>
        <w:pStyle w:val="Documentheading"/>
        <w:rPr>
          <w:sz w:val="24"/>
          <w:szCs w:val="24"/>
        </w:rPr>
      </w:pPr>
      <w:r>
        <w:rPr>
          <w:sz w:val="24"/>
          <w:szCs w:val="24"/>
        </w:rPr>
        <w:t xml:space="preserve">COMMISSION STAFF’S </w:t>
      </w:r>
      <w:r w:rsidR="004A0F11">
        <w:rPr>
          <w:sz w:val="24"/>
          <w:szCs w:val="24"/>
        </w:rPr>
        <w:t xml:space="preserve">supplemental </w:t>
      </w:r>
      <w:r>
        <w:rPr>
          <w:sz w:val="24"/>
          <w:szCs w:val="24"/>
        </w:rPr>
        <w:t xml:space="preserve">RECOMMENDATION </w:t>
      </w:r>
    </w:p>
    <w:p w14:paraId="1680F24E" w14:textId="77777777" w:rsidR="00A720BC" w:rsidRDefault="00A720BC" w:rsidP="00A720BC">
      <w:pPr>
        <w:pStyle w:val="Documentheading"/>
      </w:pPr>
    </w:p>
    <w:p w14:paraId="6D3EF21B" w14:textId="54DE7BE4" w:rsidR="005E00A0" w:rsidRDefault="005E00A0" w:rsidP="005E00A0">
      <w:pPr>
        <w:pStyle w:val="Default"/>
        <w:spacing w:line="360" w:lineRule="auto"/>
        <w:ind w:firstLine="720"/>
        <w:jc w:val="both"/>
      </w:pPr>
      <w:r>
        <w:t>On May 10, 2021, CCD-North Sky, LLC (North Sky) filed a petition with the Public Utility Commission of Texas (Commission) requesting streamlined expedited release from Marilee Special Utility District’s (Marilee SU</w:t>
      </w:r>
      <w:r w:rsidRPr="0070195E">
        <w:t>D) water certificate of convenience and necessity (CCN) number 10150 under Texas Water Code (TWC) § 13.2541 and 16 Texas Administrative Code (TAC) § 24.245(h). North Sky asserts that the land to be released is at least 25 contiguous acres, is not receiving water service, and is located in Collin County,</w:t>
      </w:r>
      <w:r>
        <w:t xml:space="preserve"> which is a qualifying county. On June 16, 2021, Marilee SUD filed a motion to dismiss North Sky’s petition. On June 29, 2021, North Sky filed a response to Marilee SUD’s motion to dismiss. On July 6, 2021, North Sky amended its petition and mapping data to revise the requested area and filed supplemental maps on July 28</w:t>
      </w:r>
      <w:r w:rsidR="00A76DC7">
        <w:t xml:space="preserve"> and August 17, </w:t>
      </w:r>
      <w:r>
        <w:t>2021.</w:t>
      </w:r>
      <w:r w:rsidR="00563F37">
        <w:t xml:space="preserve"> On September 14, 2021, the administrative law judge (ALJ) denied Marilee SUD’s motion to dismiss. </w:t>
      </w:r>
    </w:p>
    <w:p w14:paraId="15050A05" w14:textId="6F04ECB4" w:rsidR="00A4534F" w:rsidRPr="00B15D98" w:rsidRDefault="00B15D98" w:rsidP="001D26CB">
      <w:pPr>
        <w:spacing w:line="360" w:lineRule="auto"/>
      </w:pPr>
      <w:r>
        <w:tab/>
        <w:t xml:space="preserve">On </w:t>
      </w:r>
      <w:r w:rsidR="0001199C">
        <w:t>September 15</w:t>
      </w:r>
      <w:r w:rsidR="00C72773">
        <w:t>, 2021</w:t>
      </w:r>
      <w:r>
        <w:t xml:space="preserve">, the </w:t>
      </w:r>
      <w:r w:rsidR="00563F37">
        <w:t>ALJ</w:t>
      </w:r>
      <w:r>
        <w:t xml:space="preserve"> </w:t>
      </w:r>
      <w:r w:rsidR="00C4781D">
        <w:t>filed</w:t>
      </w:r>
      <w:r>
        <w:t xml:space="preserve"> Order No. </w:t>
      </w:r>
      <w:r w:rsidR="0001199C">
        <w:t>10</w:t>
      </w:r>
      <w:r>
        <w:t xml:space="preserve">, establishing a deadline of </w:t>
      </w:r>
      <w:r w:rsidR="0001199C">
        <w:t>October 21</w:t>
      </w:r>
      <w:r w:rsidR="00C72773">
        <w:t>, 2021</w:t>
      </w:r>
      <w:r>
        <w:t xml:space="preserve"> for </w:t>
      </w:r>
      <w:r w:rsidR="00A84D11">
        <w:t xml:space="preserve">the </w:t>
      </w:r>
      <w:r>
        <w:t>Staff</w:t>
      </w:r>
      <w:r w:rsidR="00A84D11">
        <w:t xml:space="preserve"> of the Public Utility Commission of Texas (Staff)</w:t>
      </w:r>
      <w:r>
        <w:t xml:space="preserve"> to file </w:t>
      </w:r>
      <w:r w:rsidR="004A0F11">
        <w:t xml:space="preserve">a recommendation on </w:t>
      </w:r>
      <w:r w:rsidR="0001199C">
        <w:t xml:space="preserve">final disposition. </w:t>
      </w:r>
      <w:r>
        <w:t>Therefore, this pleading is timely filed.</w:t>
      </w:r>
    </w:p>
    <w:p w14:paraId="40DF0D20" w14:textId="7D5E27CC" w:rsidR="00BC27A2" w:rsidRDefault="00BC27A2" w:rsidP="005E00A0">
      <w:pPr>
        <w:rPr>
          <w:szCs w:val="24"/>
        </w:rPr>
      </w:pPr>
    </w:p>
    <w:p w14:paraId="005CB048" w14:textId="2312D3A7" w:rsidR="00A76DC7" w:rsidRDefault="0001199C" w:rsidP="00A76DC7">
      <w:pPr>
        <w:pStyle w:val="ListParagraph"/>
        <w:numPr>
          <w:ilvl w:val="0"/>
          <w:numId w:val="10"/>
        </w:numPr>
        <w:spacing w:line="360" w:lineRule="auto"/>
        <w:ind w:left="0" w:firstLine="0"/>
        <w:contextualSpacing w:val="0"/>
        <w:jc w:val="center"/>
        <w:rPr>
          <w:b/>
        </w:rPr>
      </w:pPr>
      <w:r>
        <w:rPr>
          <w:b/>
        </w:rPr>
        <w:t>RECOMMENDATION ON FINAL DISPOSITION</w:t>
      </w:r>
    </w:p>
    <w:p w14:paraId="389BDF75" w14:textId="30C17675" w:rsidR="0001199C" w:rsidRDefault="0001199C" w:rsidP="0001199C">
      <w:pPr>
        <w:spacing w:line="360" w:lineRule="auto"/>
        <w:ind w:firstLine="720"/>
      </w:pPr>
      <w:r>
        <w:t xml:space="preserve">As </w:t>
      </w:r>
      <w:r w:rsidR="00A76DC7" w:rsidRPr="00B15D98">
        <w:t xml:space="preserve">detailed in the memorandum from </w:t>
      </w:r>
      <w:r w:rsidR="00A76DC7">
        <w:t>Jolie Mathis</w:t>
      </w:r>
      <w:r w:rsidR="00A76DC7" w:rsidRPr="00B15D98">
        <w:t>, Infrastructure Division,</w:t>
      </w:r>
      <w:r>
        <w:t xml:space="preserve"> Staff has reviewed the petition and recommends that it be approved. </w:t>
      </w:r>
      <w:r w:rsidRPr="00940B73">
        <w:t>The affidavit, maps and digital data, and warranty deed filed by North Sky provide adequate information to demonstrate that the petition satisfies the requirements of TWC § 13.2541(b) and 16 TAC § 24.245(h). Specifically, the petition shows that the property for which North Sky seeks expedited release is located in Collin County, which is a qualifying county, is not receiving water utility service, and is at least 25 contiguous acres. The final water CCN map and water CCN certificate are attached to this filing. Therefore, Staff recommends that the petition be approved.</w:t>
      </w:r>
    </w:p>
    <w:p w14:paraId="4ED859A7" w14:textId="77777777" w:rsidR="0001199C" w:rsidRDefault="0001199C" w:rsidP="0001199C">
      <w:pPr>
        <w:spacing w:line="360" w:lineRule="auto"/>
        <w:ind w:firstLine="720"/>
      </w:pPr>
      <w:r>
        <w:lastRenderedPageBreak/>
        <w:t>In its response to the petition, Marilee SUD contends that the application should be denied. Staff will address those arguments here.</w:t>
      </w:r>
    </w:p>
    <w:p w14:paraId="5CF446D0" w14:textId="77777777" w:rsidR="0001199C" w:rsidRPr="00AC2012" w:rsidRDefault="0001199C" w:rsidP="0001199C">
      <w:pPr>
        <w:pStyle w:val="ListParagraph"/>
        <w:keepNext/>
        <w:numPr>
          <w:ilvl w:val="0"/>
          <w:numId w:val="15"/>
        </w:numPr>
        <w:spacing w:line="360" w:lineRule="auto"/>
        <w:ind w:firstLine="360"/>
      </w:pPr>
      <w:r>
        <w:rPr>
          <w:b/>
          <w:bCs/>
        </w:rPr>
        <w:t>Receiving Water Service</w:t>
      </w:r>
    </w:p>
    <w:p w14:paraId="224D9007" w14:textId="186C78AB" w:rsidR="0001199C" w:rsidRDefault="0001199C" w:rsidP="0001199C">
      <w:pPr>
        <w:spacing w:line="360" w:lineRule="auto"/>
        <w:ind w:firstLine="720"/>
      </w:pPr>
      <w:r>
        <w:t xml:space="preserve">Marilee SUD argues that </w:t>
      </w:r>
      <w:r w:rsidR="00855CBD">
        <w:t>North Sky</w:t>
      </w:r>
      <w:r>
        <w:t xml:space="preserve"> “has not met its burden of proof to decertify the Property under TWC § 13.2541 “because it has provided only a “conclusory one-page affidavit” stating that the requested property is not receiving service.</w:t>
      </w:r>
      <w:r>
        <w:rPr>
          <w:rStyle w:val="FootnoteReference"/>
        </w:rPr>
        <w:footnoteReference w:id="1"/>
      </w:r>
      <w:r>
        <w:t xml:space="preserve"> However, on October 12, 2021, the Commission granted the release of a tract of land from Marilee SUD’s CCN area, partly on the basis of an affidavit that is, in relevant part, identical to the affidavit filed in this docket.</w:t>
      </w:r>
      <w:r>
        <w:rPr>
          <w:rStyle w:val="FootnoteReference"/>
        </w:rPr>
        <w:footnoteReference w:id="2"/>
      </w:r>
      <w:r>
        <w:t xml:space="preserve"> Staff therefore recommends that </w:t>
      </w:r>
      <w:r w:rsidR="00855CBD">
        <w:t>North Sky</w:t>
      </w:r>
      <w:r>
        <w:t xml:space="preserve"> has met its burden of proof under TWC § 13.2541.</w:t>
      </w:r>
    </w:p>
    <w:p w14:paraId="149B16B1" w14:textId="0D2C3B2F" w:rsidR="0001199C" w:rsidRPr="00E4220E" w:rsidRDefault="0001199C" w:rsidP="0001199C">
      <w:pPr>
        <w:spacing w:line="360" w:lineRule="auto"/>
        <w:ind w:firstLine="720"/>
      </w:pPr>
      <w:r>
        <w:t xml:space="preserve">Marilee SUD further asserts that </w:t>
      </w:r>
      <w:r w:rsidR="00855CBD">
        <w:t>North Sky</w:t>
      </w:r>
      <w:r>
        <w:t xml:space="preserve"> cannot meet its burden of proof because the requested area is receiving service. Marilee SUD’s argument hinges on the fact that </w:t>
      </w:r>
      <w:r w:rsidR="00855CBD">
        <w:t>North Sky</w:t>
      </w:r>
      <w:r>
        <w:t xml:space="preserve">’s </w:t>
      </w:r>
      <w:r w:rsidRPr="00940B73">
        <w:t>property</w:t>
      </w:r>
      <w:r w:rsidR="00940B73" w:rsidRPr="00940B73">
        <w:t xml:space="preserve"> </w:t>
      </w:r>
      <w:r w:rsidRPr="00940B73">
        <w:t>receives water from Marilee SUD water meter</w:t>
      </w:r>
      <w:r w:rsidR="002E0CA8">
        <w:t xml:space="preserve"> #241</w:t>
      </w:r>
      <w:r w:rsidRPr="00940B73">
        <w:t xml:space="preserve">. However, </w:t>
      </w:r>
      <w:r w:rsidR="00855CBD" w:rsidRPr="00940B73">
        <w:t>North Sky</w:t>
      </w:r>
      <w:r w:rsidRPr="00940B73">
        <w:t xml:space="preserve"> requests release of only </w:t>
      </w:r>
      <w:r w:rsidR="00940B73" w:rsidRPr="00940B73">
        <w:t>219.67</w:t>
      </w:r>
      <w:r w:rsidRPr="00940B73">
        <w:t xml:space="preserve"> acres of its total property, an area which includes no meters or service lines</w:t>
      </w:r>
      <w:r>
        <w:t>. In Docket No. 50404, the Commission rejected the same argument, in which Marilee SUD conflated the petitioner’s total property with the release property, arguing that the location of meters and lines on the total property made release inappropriate.</w:t>
      </w:r>
      <w:r>
        <w:rPr>
          <w:rStyle w:val="FootnoteReference"/>
        </w:rPr>
        <w:footnoteReference w:id="3"/>
      </w:r>
      <w:r>
        <w:t xml:space="preserve"> The Commission approved the release of the property from Marilee SUD’s certificated service area.</w:t>
      </w:r>
    </w:p>
    <w:p w14:paraId="1CC235FB" w14:textId="77777777" w:rsidR="0001199C" w:rsidRDefault="0001199C" w:rsidP="0001199C">
      <w:pPr>
        <w:spacing w:line="360" w:lineRule="auto"/>
        <w:ind w:firstLine="720"/>
      </w:pPr>
      <w:r>
        <w:t>Staff recommends that these elements are not sufficient to meet the standard of “receiving” water service. To receive water service, a retail water utility must have “facilities or lines committed to providing water to the particular tract or has performed acts or supplied anything to the particular tract . . ..”</w:t>
      </w:r>
      <w:r>
        <w:rPr>
          <w:rStyle w:val="FootnoteReference"/>
        </w:rPr>
        <w:footnoteReference w:id="4"/>
      </w:r>
    </w:p>
    <w:p w14:paraId="619DA211" w14:textId="40AD1F67" w:rsidR="0001199C" w:rsidRDefault="0001199C" w:rsidP="0001199C">
      <w:pPr>
        <w:spacing w:line="360" w:lineRule="auto"/>
        <w:ind w:firstLine="720"/>
        <w:rPr>
          <w:bCs/>
          <w:szCs w:val="24"/>
        </w:rPr>
      </w:pPr>
      <w:r w:rsidRPr="00BD0016">
        <w:rPr>
          <w:bCs/>
          <w:szCs w:val="24"/>
        </w:rPr>
        <w:t>First, the active meter</w:t>
      </w:r>
      <w:r w:rsidR="002E0CA8">
        <w:rPr>
          <w:bCs/>
          <w:szCs w:val="24"/>
        </w:rPr>
        <w:t xml:space="preserve"> #241</w:t>
      </w:r>
      <w:r w:rsidRPr="00BD0016">
        <w:rPr>
          <w:bCs/>
          <w:szCs w:val="24"/>
        </w:rPr>
        <w:t xml:space="preserve"> </w:t>
      </w:r>
      <w:r w:rsidR="002E0CA8">
        <w:rPr>
          <w:bCs/>
          <w:szCs w:val="24"/>
        </w:rPr>
        <w:t>is</w:t>
      </w:r>
      <w:r w:rsidRPr="00BD0016">
        <w:rPr>
          <w:bCs/>
          <w:szCs w:val="24"/>
        </w:rPr>
        <w:t xml:space="preserve"> not within the </w:t>
      </w:r>
      <w:r>
        <w:rPr>
          <w:bCs/>
          <w:szCs w:val="24"/>
        </w:rPr>
        <w:t>release</w:t>
      </w:r>
      <w:r w:rsidRPr="00BD0016">
        <w:rPr>
          <w:bCs/>
          <w:szCs w:val="24"/>
        </w:rPr>
        <w:t xml:space="preserve"> area. As </w:t>
      </w:r>
      <w:r>
        <w:rPr>
          <w:bCs/>
          <w:szCs w:val="24"/>
        </w:rPr>
        <w:t>Marilee SUD’s</w:t>
      </w:r>
      <w:r w:rsidRPr="00BD0016">
        <w:rPr>
          <w:bCs/>
          <w:szCs w:val="24"/>
        </w:rPr>
        <w:t xml:space="preserve"> </w:t>
      </w:r>
      <w:r>
        <w:rPr>
          <w:bCs/>
          <w:szCs w:val="24"/>
        </w:rPr>
        <w:t xml:space="preserve">response </w:t>
      </w:r>
      <w:r w:rsidRPr="00BD0016">
        <w:rPr>
          <w:bCs/>
          <w:szCs w:val="24"/>
        </w:rPr>
        <w:t xml:space="preserve">indicates, the meters are within the metes and bounds of the </w:t>
      </w:r>
      <w:r>
        <w:rPr>
          <w:bCs/>
          <w:szCs w:val="24"/>
        </w:rPr>
        <w:t>total</w:t>
      </w:r>
      <w:r w:rsidRPr="00BD0016">
        <w:rPr>
          <w:bCs/>
          <w:szCs w:val="24"/>
        </w:rPr>
        <w:t xml:space="preserve"> property, but the requested area does not include the tracts</w:t>
      </w:r>
      <w:r>
        <w:rPr>
          <w:bCs/>
          <w:szCs w:val="24"/>
        </w:rPr>
        <w:t xml:space="preserve"> to which Marilee SUD provides service.</w:t>
      </w:r>
      <w:r>
        <w:rPr>
          <w:rStyle w:val="FootnoteReference"/>
          <w:bCs/>
          <w:szCs w:val="24"/>
        </w:rPr>
        <w:footnoteReference w:id="5"/>
      </w:r>
      <w:r w:rsidRPr="00BD0016">
        <w:rPr>
          <w:bCs/>
          <w:szCs w:val="24"/>
        </w:rPr>
        <w:t xml:space="preserve"> </w:t>
      </w:r>
      <w:r>
        <w:rPr>
          <w:bCs/>
          <w:szCs w:val="24"/>
        </w:rPr>
        <w:t xml:space="preserve">If </w:t>
      </w:r>
      <w:r w:rsidRPr="00BD0016">
        <w:rPr>
          <w:bCs/>
          <w:szCs w:val="24"/>
        </w:rPr>
        <w:t xml:space="preserve">the active meter </w:t>
      </w:r>
      <w:r w:rsidR="002E0CA8">
        <w:rPr>
          <w:bCs/>
          <w:szCs w:val="24"/>
        </w:rPr>
        <w:t>is</w:t>
      </w:r>
      <w:r>
        <w:rPr>
          <w:bCs/>
          <w:szCs w:val="24"/>
        </w:rPr>
        <w:t xml:space="preserve"> not located within </w:t>
      </w:r>
      <w:r w:rsidRPr="002E0CA8">
        <w:rPr>
          <w:bCs/>
          <w:szCs w:val="24"/>
        </w:rPr>
        <w:t xml:space="preserve">the </w:t>
      </w:r>
      <w:r w:rsidR="002E0CA8" w:rsidRPr="002E0CA8">
        <w:t xml:space="preserve">219.67 </w:t>
      </w:r>
      <w:r w:rsidRPr="002E0CA8">
        <w:t>acres</w:t>
      </w:r>
      <w:r>
        <w:t xml:space="preserve"> for which release is sought they should not be</w:t>
      </w:r>
      <w:r w:rsidRPr="00BD0016">
        <w:rPr>
          <w:bCs/>
          <w:szCs w:val="24"/>
        </w:rPr>
        <w:t xml:space="preserve"> considered </w:t>
      </w:r>
      <w:r>
        <w:rPr>
          <w:bCs/>
          <w:szCs w:val="24"/>
        </w:rPr>
        <w:t>when determining whether the requested area is</w:t>
      </w:r>
      <w:r w:rsidRPr="00BD0016">
        <w:rPr>
          <w:bCs/>
          <w:szCs w:val="24"/>
        </w:rPr>
        <w:t xml:space="preserve"> receiving service. </w:t>
      </w:r>
    </w:p>
    <w:p w14:paraId="775F55BE" w14:textId="515FD486" w:rsidR="0001199C" w:rsidRPr="006E5BF7" w:rsidRDefault="0001199C" w:rsidP="0001199C">
      <w:pPr>
        <w:spacing w:line="360" w:lineRule="auto"/>
        <w:ind w:firstLine="720"/>
        <w:rPr>
          <w:bCs/>
          <w:szCs w:val="24"/>
        </w:rPr>
      </w:pPr>
      <w:r w:rsidRPr="00BD0016">
        <w:rPr>
          <w:bCs/>
          <w:szCs w:val="24"/>
        </w:rPr>
        <w:t>Second, the water line running through the property ha</w:t>
      </w:r>
      <w:r w:rsidR="002E0CA8">
        <w:rPr>
          <w:bCs/>
          <w:szCs w:val="24"/>
        </w:rPr>
        <w:t>s</w:t>
      </w:r>
      <w:r w:rsidRPr="00BD0016">
        <w:rPr>
          <w:bCs/>
          <w:szCs w:val="24"/>
        </w:rPr>
        <w:t xml:space="preserve"> not been shown to be committed to providing water to the particular tract. Through its various </w:t>
      </w:r>
      <w:r>
        <w:rPr>
          <w:bCs/>
          <w:szCs w:val="24"/>
        </w:rPr>
        <w:t>responses</w:t>
      </w:r>
      <w:r w:rsidRPr="00BD0016">
        <w:rPr>
          <w:bCs/>
          <w:szCs w:val="24"/>
        </w:rPr>
        <w:t>, Marilee SUD has not demonstrated that the water line</w:t>
      </w:r>
      <w:r w:rsidR="002E0CA8">
        <w:rPr>
          <w:bCs/>
          <w:szCs w:val="24"/>
        </w:rPr>
        <w:t xml:space="preserve"> is</w:t>
      </w:r>
      <w:r w:rsidRPr="00BD0016">
        <w:rPr>
          <w:bCs/>
          <w:szCs w:val="24"/>
        </w:rPr>
        <w:t xml:space="preserve"> committed to the requested area. In </w:t>
      </w:r>
      <w:r w:rsidRPr="000E6EDC">
        <w:rPr>
          <w:bCs/>
          <w:i/>
          <w:iCs/>
          <w:szCs w:val="24"/>
        </w:rPr>
        <w:t>Crystal Clear</w:t>
      </w:r>
      <w:r w:rsidRPr="00BD0016">
        <w:rPr>
          <w:bCs/>
          <w:szCs w:val="24"/>
        </w:rPr>
        <w:t>, the CCN holder raised the issue of existing water lines and facilities.</w:t>
      </w:r>
      <w:r>
        <w:rPr>
          <w:rStyle w:val="FootnoteReference"/>
          <w:bCs/>
          <w:szCs w:val="24"/>
        </w:rPr>
        <w:footnoteReference w:id="6"/>
      </w:r>
      <w:r w:rsidRPr="00BD0016">
        <w:rPr>
          <w:bCs/>
          <w:szCs w:val="24"/>
        </w:rPr>
        <w:t xml:space="preserve"> The court looked to whether those lines or facilities were constructed for the purpose of providing water to the property in question. Finding that the facilities were constructed to serve the greater area, and not the particular property, the court determined that the facilities were not committed to the particular tract of land</w:t>
      </w:r>
      <w:r>
        <w:rPr>
          <w:bCs/>
          <w:szCs w:val="24"/>
        </w:rPr>
        <w:t>,</w:t>
      </w:r>
      <w:r w:rsidRPr="00BD0016">
        <w:rPr>
          <w:bCs/>
          <w:szCs w:val="24"/>
        </w:rPr>
        <w:t xml:space="preserve"> and therefore, the property in question was not receiving service.</w:t>
      </w:r>
      <w:r>
        <w:rPr>
          <w:rStyle w:val="FootnoteReference"/>
          <w:bCs/>
          <w:szCs w:val="24"/>
        </w:rPr>
        <w:footnoteReference w:id="7"/>
      </w:r>
      <w:r w:rsidRPr="00BD0016">
        <w:rPr>
          <w:bCs/>
          <w:szCs w:val="24"/>
        </w:rPr>
        <w:t xml:space="preserve"> Similarly, Marilee SUD does not demonstrate that the water line w</w:t>
      </w:r>
      <w:r w:rsidR="002E0CA8">
        <w:rPr>
          <w:bCs/>
          <w:szCs w:val="24"/>
        </w:rPr>
        <w:t>as</w:t>
      </w:r>
      <w:r w:rsidRPr="00BD0016">
        <w:rPr>
          <w:bCs/>
          <w:szCs w:val="24"/>
        </w:rPr>
        <w:t xml:space="preserve"> installed for the purpose of providing water to the requested area. As such, </w:t>
      </w:r>
      <w:r w:rsidR="002E0CA8">
        <w:rPr>
          <w:bCs/>
          <w:szCs w:val="24"/>
        </w:rPr>
        <w:t>it</w:t>
      </w:r>
      <w:r w:rsidRPr="00BD0016">
        <w:rPr>
          <w:bCs/>
          <w:szCs w:val="24"/>
        </w:rPr>
        <w:t xml:space="preserve"> cannot be considered to be committed to the particular property and the requested area is not, therefore, receiving water service from Marilee SUD. Accordingly, Staff recommends that the requested area is not receiving water service.</w:t>
      </w:r>
    </w:p>
    <w:p w14:paraId="1F69459F" w14:textId="77777777" w:rsidR="0001199C" w:rsidRPr="007C058B" w:rsidRDefault="0001199C" w:rsidP="0001199C">
      <w:pPr>
        <w:pStyle w:val="ListParagraph"/>
        <w:keepNext/>
        <w:numPr>
          <w:ilvl w:val="0"/>
          <w:numId w:val="15"/>
        </w:numPr>
        <w:spacing w:line="360" w:lineRule="auto"/>
        <w:ind w:firstLine="360"/>
        <w:rPr>
          <w:b/>
          <w:bCs/>
        </w:rPr>
      </w:pPr>
      <w:r w:rsidRPr="007C058B">
        <w:rPr>
          <w:b/>
          <w:bCs/>
        </w:rPr>
        <w:t>Marilee’s Federal Debt</w:t>
      </w:r>
    </w:p>
    <w:p w14:paraId="24A0B84F" w14:textId="7B92A1C3" w:rsidR="0001199C" w:rsidRDefault="0001199C" w:rsidP="0001199C">
      <w:pPr>
        <w:tabs>
          <w:tab w:val="left" w:pos="3240"/>
        </w:tabs>
        <w:spacing w:line="360" w:lineRule="auto"/>
        <w:ind w:firstLine="720"/>
      </w:pPr>
      <w:bookmarkStart w:id="0" w:name="_Hlk85001311"/>
      <w:r>
        <w:t xml:space="preserve">Marilee SUD asserts that releasing the requested area would impair its ability to service the debt on the Water and Wastewater Guaranteed loan of $1,553,000, which was approved by the United States Department of Agriculture (USDA) </w:t>
      </w:r>
      <w:r w:rsidRPr="00BD0063">
        <w:t>on July 12, 2021.</w:t>
      </w:r>
      <w:r w:rsidRPr="00BD0063">
        <w:rPr>
          <w:rStyle w:val="FootnoteReference"/>
        </w:rPr>
        <w:footnoteReference w:id="8"/>
      </w:r>
      <w:r w:rsidRPr="00BD0063">
        <w:t xml:space="preserve"> In its response, Marilee SUD states that, under the Consolidated Farm and Rural Development Act of 1961 and 7 U. S. Code § 1926(b), “it is prohibited by federal law to “curtail or limit” the service area of a USDA debtor.”</w:t>
      </w:r>
      <w:r w:rsidRPr="00BD0063">
        <w:rPr>
          <w:rStyle w:val="FootnoteReference"/>
        </w:rPr>
        <w:footnoteReference w:id="9"/>
      </w:r>
      <w:r>
        <w:t xml:space="preserve"> Marilee SUD claims that, because it can show federal indebtedness and the physical ability to serve a portion of </w:t>
      </w:r>
      <w:r w:rsidR="001E7F86">
        <w:t>North Sky</w:t>
      </w:r>
      <w:r>
        <w:t xml:space="preserve">’s total property, the protections of § 1926(b) prohibit the Commission from granting the release of the proposed area. </w:t>
      </w:r>
    </w:p>
    <w:p w14:paraId="44CB767B" w14:textId="77777777" w:rsidR="0001199C" w:rsidRDefault="0001199C" w:rsidP="0001199C">
      <w:pPr>
        <w:tabs>
          <w:tab w:val="left" w:pos="3240"/>
        </w:tabs>
        <w:spacing w:line="360" w:lineRule="auto"/>
        <w:ind w:firstLine="720"/>
      </w:pPr>
      <w:r>
        <w:t>Staff recommends that Marilee SUD’s claim of protection under 7 U.S.C. § 1926(b) is moot. The TWC explicitly states that “[t]he utility commission may not deny the petition based on the fact that the certificate holder is a borrower under a federal loan program.”</w:t>
      </w:r>
      <w:r>
        <w:rPr>
          <w:rStyle w:val="FootnoteReference"/>
        </w:rPr>
        <w:footnoteReference w:id="10"/>
      </w:r>
      <w:r>
        <w:t xml:space="preserve"> While a federal district court had previously held that 7 U.S.C. § 1926(b) preempted TWC § 13.2541 (formerly, TWC § 13.254(a-5) and (a-6)), that decision has been vacated by the Fifth Circuit.</w:t>
      </w:r>
      <w:r>
        <w:rPr>
          <w:rStyle w:val="FootnoteReference"/>
        </w:rPr>
        <w:footnoteReference w:id="11"/>
      </w:r>
      <w:r>
        <w:t xml:space="preserve"> Further, the Fifth Circuit decision in </w:t>
      </w:r>
      <w:r w:rsidRPr="007532A8">
        <w:rPr>
          <w:i/>
          <w:iCs/>
        </w:rPr>
        <w:t>Green Valley Special Utility District v. City of Schertz</w:t>
      </w:r>
      <w:r>
        <w:t xml:space="preserve"> specifically dismissed Green Valley SUD’s preemption claim and determined that the court lacked jurisdiction to consider such a claim.</w:t>
      </w:r>
      <w:r>
        <w:rPr>
          <w:rStyle w:val="FootnoteReference"/>
        </w:rPr>
        <w:footnoteReference w:id="12"/>
      </w:r>
      <w:r>
        <w:t xml:space="preserve"> Absent any federal court ruling on preemption, Staff's recommendation must comply with state law. As such, Staff's recommendation does not take Marilee SUD’s federally indebted status into consideration.</w:t>
      </w:r>
    </w:p>
    <w:p w14:paraId="4C8D26F9" w14:textId="77777777" w:rsidR="0001199C" w:rsidRPr="006E5BF7" w:rsidRDefault="0001199C" w:rsidP="0001199C">
      <w:pPr>
        <w:spacing w:line="360" w:lineRule="auto"/>
        <w:ind w:firstLine="720"/>
        <w:rPr>
          <w:bCs/>
          <w:szCs w:val="24"/>
        </w:rPr>
      </w:pPr>
    </w:p>
    <w:bookmarkEnd w:id="0"/>
    <w:p w14:paraId="5E1CF393" w14:textId="77777777" w:rsidR="0001199C" w:rsidRPr="00276619" w:rsidRDefault="0001199C" w:rsidP="0001199C">
      <w:pPr>
        <w:pStyle w:val="ListParagraph"/>
        <w:keepNext/>
        <w:numPr>
          <w:ilvl w:val="0"/>
          <w:numId w:val="10"/>
        </w:numPr>
        <w:spacing w:line="360" w:lineRule="auto"/>
        <w:ind w:left="720"/>
        <w:contextualSpacing w:val="0"/>
        <w:jc w:val="center"/>
        <w:rPr>
          <w:b/>
          <w:szCs w:val="24"/>
        </w:rPr>
      </w:pPr>
      <w:r w:rsidRPr="00276619">
        <w:rPr>
          <w:b/>
          <w:szCs w:val="24"/>
        </w:rPr>
        <w:t>CONCLUSION</w:t>
      </w:r>
    </w:p>
    <w:p w14:paraId="17B9356E" w14:textId="6275EE30" w:rsidR="0001199C" w:rsidRDefault="0001199C" w:rsidP="0001199C">
      <w:pPr>
        <w:spacing w:line="360" w:lineRule="auto"/>
        <w:ind w:firstLine="720"/>
      </w:pPr>
      <w:r w:rsidRPr="00510E8D">
        <w:t xml:space="preserve">Staff respectfully </w:t>
      </w:r>
      <w:r>
        <w:t>requests the entry of an order consistent with the foregoing recommendation</w:t>
      </w:r>
      <w:r w:rsidRPr="00510E8D">
        <w:t>.</w:t>
      </w:r>
    </w:p>
    <w:p w14:paraId="7599994E" w14:textId="5B32C101" w:rsidR="00A76DC7" w:rsidRDefault="00A76DC7">
      <w:pPr>
        <w:jc w:val="left"/>
        <w:rPr>
          <w:bCs/>
          <w:szCs w:val="24"/>
        </w:rPr>
      </w:pPr>
    </w:p>
    <w:p w14:paraId="45232FA2" w14:textId="71E745BF" w:rsidR="001E7F86" w:rsidRDefault="001E7F86">
      <w:pPr>
        <w:jc w:val="left"/>
        <w:rPr>
          <w:bCs/>
          <w:szCs w:val="24"/>
        </w:rPr>
      </w:pPr>
    </w:p>
    <w:p w14:paraId="506B9FCE" w14:textId="4BDE7F92" w:rsidR="001E7F86" w:rsidRDefault="001E7F86">
      <w:pPr>
        <w:jc w:val="left"/>
        <w:rPr>
          <w:bCs/>
          <w:szCs w:val="24"/>
        </w:rPr>
      </w:pPr>
    </w:p>
    <w:p w14:paraId="31D0E6CC" w14:textId="3632E305" w:rsidR="001E7F86" w:rsidRDefault="001E7F86">
      <w:pPr>
        <w:jc w:val="left"/>
        <w:rPr>
          <w:bCs/>
          <w:szCs w:val="24"/>
        </w:rPr>
      </w:pPr>
    </w:p>
    <w:p w14:paraId="593C1886" w14:textId="7185A11F" w:rsidR="001E7F86" w:rsidRDefault="001E7F86">
      <w:pPr>
        <w:jc w:val="left"/>
        <w:rPr>
          <w:bCs/>
          <w:szCs w:val="24"/>
        </w:rPr>
      </w:pPr>
    </w:p>
    <w:p w14:paraId="2E83174D" w14:textId="7621B452" w:rsidR="001E7F86" w:rsidRDefault="001E7F86">
      <w:pPr>
        <w:jc w:val="left"/>
        <w:rPr>
          <w:bCs/>
          <w:szCs w:val="24"/>
        </w:rPr>
      </w:pPr>
    </w:p>
    <w:p w14:paraId="060F9558" w14:textId="1EE105A5" w:rsidR="001E7F86" w:rsidRDefault="001E7F86">
      <w:pPr>
        <w:jc w:val="left"/>
        <w:rPr>
          <w:bCs/>
          <w:szCs w:val="24"/>
        </w:rPr>
      </w:pPr>
    </w:p>
    <w:p w14:paraId="39A25904" w14:textId="243DD2A2" w:rsidR="001E7F86" w:rsidRDefault="001E7F86">
      <w:pPr>
        <w:jc w:val="left"/>
        <w:rPr>
          <w:bCs/>
          <w:szCs w:val="24"/>
        </w:rPr>
      </w:pPr>
    </w:p>
    <w:p w14:paraId="72C66511" w14:textId="402043AC" w:rsidR="001E7F86" w:rsidRDefault="001E7F86">
      <w:pPr>
        <w:jc w:val="left"/>
        <w:rPr>
          <w:bCs/>
          <w:szCs w:val="24"/>
        </w:rPr>
      </w:pPr>
    </w:p>
    <w:p w14:paraId="30D0F91F" w14:textId="5BF1F9B8" w:rsidR="001E7F86" w:rsidRDefault="001E7F86">
      <w:pPr>
        <w:jc w:val="left"/>
        <w:rPr>
          <w:bCs/>
          <w:szCs w:val="24"/>
        </w:rPr>
      </w:pPr>
    </w:p>
    <w:p w14:paraId="6D05F16A" w14:textId="180B6D17" w:rsidR="001E7F86" w:rsidRDefault="001E7F86">
      <w:pPr>
        <w:jc w:val="left"/>
        <w:rPr>
          <w:bCs/>
          <w:szCs w:val="24"/>
        </w:rPr>
      </w:pPr>
    </w:p>
    <w:p w14:paraId="0964CF52" w14:textId="7B722699" w:rsidR="001E7F86" w:rsidRDefault="001E7F86">
      <w:pPr>
        <w:jc w:val="left"/>
        <w:rPr>
          <w:bCs/>
          <w:szCs w:val="24"/>
        </w:rPr>
      </w:pPr>
    </w:p>
    <w:p w14:paraId="653FA30E" w14:textId="555F4A71" w:rsidR="001E7F86" w:rsidRDefault="001E7F86">
      <w:pPr>
        <w:jc w:val="left"/>
        <w:rPr>
          <w:bCs/>
          <w:szCs w:val="24"/>
        </w:rPr>
      </w:pPr>
    </w:p>
    <w:p w14:paraId="43B7C2A4" w14:textId="7BB2F580" w:rsidR="001E7F86" w:rsidRDefault="001E7F86">
      <w:pPr>
        <w:jc w:val="left"/>
        <w:rPr>
          <w:bCs/>
          <w:szCs w:val="24"/>
        </w:rPr>
      </w:pPr>
    </w:p>
    <w:p w14:paraId="1B812D3B" w14:textId="45B1027B" w:rsidR="001E7F86" w:rsidRDefault="001E7F86">
      <w:pPr>
        <w:jc w:val="left"/>
        <w:rPr>
          <w:bCs/>
          <w:szCs w:val="24"/>
        </w:rPr>
      </w:pPr>
    </w:p>
    <w:p w14:paraId="32B8FE8D" w14:textId="77777777" w:rsidR="001E7F86" w:rsidRDefault="001E7F86">
      <w:pPr>
        <w:jc w:val="left"/>
        <w:rPr>
          <w:bCs/>
          <w:szCs w:val="24"/>
        </w:rPr>
      </w:pPr>
    </w:p>
    <w:p w14:paraId="11380E7F" w14:textId="0635C405"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EF3F05">
        <w:rPr>
          <w:bCs/>
          <w:noProof/>
          <w:szCs w:val="24"/>
        </w:rPr>
        <w:t>October 21,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01D715A4" w:rsidR="00675E73" w:rsidRDefault="00675E73" w:rsidP="00675E73">
      <w:r>
        <w:tab/>
      </w:r>
      <w:r>
        <w:tab/>
      </w:r>
      <w:r>
        <w:tab/>
      </w:r>
      <w:r>
        <w:tab/>
      </w:r>
      <w:r>
        <w:tab/>
      </w:r>
      <w:r>
        <w:tab/>
        <w:t xml:space="preserve">Division Director </w:t>
      </w:r>
    </w:p>
    <w:p w14:paraId="3365D3C0" w14:textId="77777777" w:rsidR="00ED077A" w:rsidRDefault="00ED077A" w:rsidP="00675E73"/>
    <w:p w14:paraId="0B1E038E" w14:textId="77777777" w:rsidR="00492AD4" w:rsidRPr="00A14364" w:rsidRDefault="00492AD4" w:rsidP="00492AD4">
      <w:pPr>
        <w:ind w:left="4320"/>
      </w:pPr>
      <w:r w:rsidRPr="00A14364">
        <w:t>Rashmin J. Asher</w:t>
      </w:r>
    </w:p>
    <w:p w14:paraId="197B0C98" w14:textId="77777777" w:rsidR="00492AD4" w:rsidRPr="00896B5A" w:rsidRDefault="00492AD4" w:rsidP="00492AD4">
      <w:pPr>
        <w:ind w:left="4320"/>
        <w:rPr>
          <w:szCs w:val="24"/>
        </w:rPr>
      </w:pPr>
      <w:r w:rsidRPr="00896B5A">
        <w:rPr>
          <w:szCs w:val="24"/>
        </w:rPr>
        <w:t>Managing Attorney</w:t>
      </w:r>
    </w:p>
    <w:p w14:paraId="209EEAED" w14:textId="77777777" w:rsidR="00492AD4" w:rsidRPr="007D05EA" w:rsidRDefault="00492AD4" w:rsidP="00492AD4">
      <w:pPr>
        <w:ind w:left="4320"/>
        <w:rPr>
          <w:szCs w:val="24"/>
        </w:rPr>
      </w:pPr>
    </w:p>
    <w:p w14:paraId="0BA7596C" w14:textId="60C3F0B0" w:rsidR="00492AD4" w:rsidRPr="006E1C71" w:rsidRDefault="00492AD4" w:rsidP="00492AD4">
      <w:pPr>
        <w:ind w:left="4320"/>
        <w:rPr>
          <w:szCs w:val="24"/>
          <w:u w:val="single"/>
        </w:rPr>
      </w:pPr>
      <w:bookmarkStart w:id="1" w:name="_Hlk73969733"/>
      <w:r w:rsidRPr="006E1C71">
        <w:rPr>
          <w:u w:val="single"/>
        </w:rPr>
        <w:t>/s/</w:t>
      </w:r>
      <w:r w:rsidR="00EF3F05">
        <w:rPr>
          <w:u w:val="single"/>
        </w:rPr>
        <w:t xml:space="preserve"> </w:t>
      </w:r>
      <w:r w:rsidRPr="006E1C71">
        <w:rPr>
          <w:u w:val="single"/>
        </w:rPr>
        <w:t>Mildred Anaele</w:t>
      </w:r>
      <w:r w:rsidRPr="006E1C71">
        <w:rPr>
          <w:szCs w:val="24"/>
          <w:u w:val="single"/>
        </w:rPr>
        <w:t xml:space="preserve"> </w:t>
      </w:r>
    </w:p>
    <w:p w14:paraId="2E1E371D" w14:textId="77777777" w:rsidR="00492AD4" w:rsidRDefault="00492AD4" w:rsidP="00492AD4">
      <w:pPr>
        <w:ind w:left="4320"/>
        <w:rPr>
          <w:szCs w:val="24"/>
        </w:rPr>
      </w:pPr>
      <w:r>
        <w:t>Mildred Anaele</w:t>
      </w:r>
      <w:r>
        <w:rPr>
          <w:szCs w:val="24"/>
        </w:rPr>
        <w:t xml:space="preserve"> </w:t>
      </w:r>
    </w:p>
    <w:bookmarkEnd w:id="1"/>
    <w:p w14:paraId="583513D3" w14:textId="77777777" w:rsidR="00492AD4" w:rsidRDefault="00492AD4" w:rsidP="00492AD4">
      <w:pPr>
        <w:ind w:left="4320"/>
        <w:rPr>
          <w:szCs w:val="24"/>
        </w:rPr>
      </w:pPr>
      <w:r>
        <w:rPr>
          <w:szCs w:val="24"/>
        </w:rPr>
        <w:t xml:space="preserve">State Bar No. </w:t>
      </w:r>
      <w:bookmarkStart w:id="2" w:name="_Hlk73969753"/>
      <w:r>
        <w:t>24100119</w:t>
      </w:r>
      <w:bookmarkEnd w:id="2"/>
    </w:p>
    <w:p w14:paraId="074659A7" w14:textId="77777777" w:rsidR="00492AD4" w:rsidRDefault="00492AD4" w:rsidP="00492AD4">
      <w:pPr>
        <w:ind w:left="4320"/>
        <w:rPr>
          <w:szCs w:val="24"/>
        </w:rPr>
      </w:pPr>
      <w:r>
        <w:rPr>
          <w:szCs w:val="24"/>
        </w:rPr>
        <w:t>1701 N. Congress Avenue</w:t>
      </w:r>
    </w:p>
    <w:p w14:paraId="30EA0089" w14:textId="77777777" w:rsidR="00492AD4" w:rsidRDefault="00492AD4" w:rsidP="00492AD4">
      <w:pPr>
        <w:ind w:left="4320"/>
        <w:rPr>
          <w:szCs w:val="24"/>
        </w:rPr>
      </w:pPr>
      <w:r>
        <w:rPr>
          <w:szCs w:val="24"/>
        </w:rPr>
        <w:t>P.O. Box 13326</w:t>
      </w:r>
    </w:p>
    <w:p w14:paraId="1C234956" w14:textId="77777777" w:rsidR="00492AD4" w:rsidRDefault="00492AD4" w:rsidP="00492AD4">
      <w:pPr>
        <w:ind w:left="4320"/>
        <w:rPr>
          <w:szCs w:val="24"/>
        </w:rPr>
      </w:pPr>
      <w:r>
        <w:rPr>
          <w:szCs w:val="24"/>
        </w:rPr>
        <w:t>Austin, Texas 78711-3326</w:t>
      </w:r>
    </w:p>
    <w:p w14:paraId="10C11940" w14:textId="77777777" w:rsidR="00492AD4" w:rsidRDefault="00492AD4" w:rsidP="00492AD4">
      <w:pPr>
        <w:ind w:left="4320"/>
        <w:rPr>
          <w:szCs w:val="24"/>
        </w:rPr>
      </w:pPr>
      <w:r>
        <w:rPr>
          <w:szCs w:val="24"/>
        </w:rPr>
        <w:t>(512) 936-7345</w:t>
      </w:r>
    </w:p>
    <w:p w14:paraId="5AF257C8" w14:textId="77777777" w:rsidR="00492AD4" w:rsidRDefault="00492AD4" w:rsidP="00492AD4">
      <w:pPr>
        <w:ind w:left="4320"/>
        <w:rPr>
          <w:szCs w:val="24"/>
        </w:rPr>
      </w:pPr>
      <w:r>
        <w:rPr>
          <w:szCs w:val="24"/>
        </w:rPr>
        <w:t>(512) 936-7268 (facsimile)</w:t>
      </w:r>
    </w:p>
    <w:p w14:paraId="1E1E81F4" w14:textId="77777777" w:rsidR="00492AD4" w:rsidRDefault="00492AD4" w:rsidP="00492AD4">
      <w:pPr>
        <w:ind w:left="4320"/>
        <w:rPr>
          <w:szCs w:val="24"/>
        </w:rPr>
      </w:pPr>
      <w:r>
        <w:t>Mildred.Anaele</w:t>
      </w:r>
      <w:r>
        <w:rPr>
          <w:szCs w:val="24"/>
        </w:rPr>
        <w:t>@puc.texas.gov</w:t>
      </w:r>
    </w:p>
    <w:p w14:paraId="136C2F81" w14:textId="270C4E3B" w:rsidR="00492AD4" w:rsidRDefault="00492AD4" w:rsidP="00492AD4">
      <w:pPr>
        <w:pStyle w:val="Blockquote"/>
        <w:ind w:left="0"/>
        <w:rPr>
          <w:b/>
          <w:caps/>
        </w:rPr>
      </w:pPr>
    </w:p>
    <w:p w14:paraId="1E21FCB6" w14:textId="77777777" w:rsidR="00492AD4" w:rsidRDefault="00492AD4" w:rsidP="00492AD4">
      <w:pPr>
        <w:pStyle w:val="Blockquote"/>
        <w:ind w:left="0"/>
        <w:rPr>
          <w:b/>
          <w:caps/>
        </w:rPr>
      </w:pPr>
    </w:p>
    <w:p w14:paraId="386734BE" w14:textId="77777777" w:rsidR="00492AD4" w:rsidRPr="008E60E8" w:rsidRDefault="00492AD4" w:rsidP="00492AD4">
      <w:pPr>
        <w:jc w:val="center"/>
        <w:rPr>
          <w:b/>
          <w:caps/>
          <w:szCs w:val="24"/>
        </w:rPr>
      </w:pPr>
      <w:r w:rsidRPr="008E60E8">
        <w:rPr>
          <w:b/>
          <w:caps/>
          <w:szCs w:val="24"/>
        </w:rPr>
        <w:t xml:space="preserve">DOCKET NO. </w:t>
      </w:r>
      <w:r>
        <w:rPr>
          <w:b/>
          <w:caps/>
          <w:szCs w:val="24"/>
        </w:rPr>
        <w:t>52101</w:t>
      </w:r>
    </w:p>
    <w:p w14:paraId="6A5F1E6F" w14:textId="77777777" w:rsidR="00492AD4" w:rsidRDefault="00492AD4" w:rsidP="00492AD4">
      <w:pPr>
        <w:keepNext/>
        <w:jc w:val="center"/>
        <w:rPr>
          <w:b/>
          <w:szCs w:val="24"/>
        </w:rPr>
      </w:pPr>
    </w:p>
    <w:p w14:paraId="5E1F781E" w14:textId="77777777" w:rsidR="00492AD4" w:rsidRPr="007C52EB" w:rsidRDefault="00492AD4" w:rsidP="00492AD4">
      <w:pPr>
        <w:keepNext/>
        <w:jc w:val="center"/>
        <w:rPr>
          <w:b/>
          <w:szCs w:val="24"/>
        </w:rPr>
      </w:pPr>
      <w:r w:rsidRPr="007C52EB">
        <w:rPr>
          <w:b/>
          <w:szCs w:val="24"/>
        </w:rPr>
        <w:t>CERTIFICATE OF SERVICE</w:t>
      </w:r>
    </w:p>
    <w:p w14:paraId="784FF109" w14:textId="77777777" w:rsidR="00492AD4" w:rsidRPr="007C52EB" w:rsidRDefault="00492AD4" w:rsidP="00492AD4">
      <w:pPr>
        <w:keepNext/>
        <w:jc w:val="center"/>
        <w:rPr>
          <w:b/>
          <w:szCs w:val="24"/>
        </w:rPr>
      </w:pPr>
    </w:p>
    <w:p w14:paraId="2DDED3D1" w14:textId="00423782" w:rsidR="00492AD4" w:rsidRPr="005161D8" w:rsidRDefault="00492AD4" w:rsidP="00492AD4">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EF3F05">
        <w:rPr>
          <w:noProof/>
          <w:szCs w:val="24"/>
        </w:rPr>
        <w:t>October 21, 2021</w:t>
      </w:r>
      <w:r>
        <w:rPr>
          <w:szCs w:val="24"/>
        </w:rPr>
        <w:fldChar w:fldCharType="end"/>
      </w:r>
      <w:r>
        <w:rPr>
          <w:color w:val="0D0D0D"/>
        </w:rPr>
        <w:t>, in accordance with the Order Suspending Rules, issued in Project No. 50664.</w:t>
      </w:r>
    </w:p>
    <w:p w14:paraId="5870C1FB" w14:textId="77777777" w:rsidR="00492AD4" w:rsidRDefault="00492AD4" w:rsidP="00492AD4">
      <w:pPr>
        <w:keepNext/>
        <w:ind w:left="3600" w:firstLine="720"/>
        <w:rPr>
          <w:szCs w:val="24"/>
        </w:rPr>
      </w:pPr>
    </w:p>
    <w:p w14:paraId="78CE97D7" w14:textId="77777777" w:rsidR="00492AD4" w:rsidRDefault="00492AD4" w:rsidP="00492AD4">
      <w:pPr>
        <w:keepNext/>
        <w:ind w:left="3600" w:firstLine="720"/>
        <w:rPr>
          <w:szCs w:val="24"/>
        </w:rPr>
      </w:pPr>
    </w:p>
    <w:p w14:paraId="28A41542" w14:textId="6FCFE6DE" w:rsidR="00492AD4" w:rsidRPr="006E1C71" w:rsidRDefault="00492AD4" w:rsidP="00492AD4">
      <w:pPr>
        <w:ind w:left="4320"/>
        <w:rPr>
          <w:szCs w:val="24"/>
          <w:u w:val="single"/>
        </w:rPr>
      </w:pPr>
      <w:r w:rsidRPr="006E1C71">
        <w:rPr>
          <w:u w:val="single"/>
        </w:rPr>
        <w:t>/s/</w:t>
      </w:r>
      <w:r w:rsidR="00EF3F05">
        <w:rPr>
          <w:u w:val="single"/>
        </w:rPr>
        <w:t xml:space="preserve"> </w:t>
      </w:r>
      <w:r w:rsidRPr="006E1C71">
        <w:rPr>
          <w:u w:val="single"/>
        </w:rPr>
        <w:t>Mildred Anaele</w:t>
      </w:r>
      <w:r w:rsidRPr="006E1C71">
        <w:rPr>
          <w:szCs w:val="24"/>
          <w:u w:val="single"/>
        </w:rPr>
        <w:t xml:space="preserve"> </w:t>
      </w:r>
    </w:p>
    <w:p w14:paraId="39D04C16" w14:textId="77777777" w:rsidR="00492AD4" w:rsidRDefault="00492AD4" w:rsidP="00492AD4">
      <w:pPr>
        <w:ind w:left="4320"/>
        <w:rPr>
          <w:szCs w:val="24"/>
        </w:rPr>
      </w:pPr>
      <w:r>
        <w:t>Mildred Anaele</w:t>
      </w:r>
      <w:r>
        <w:rPr>
          <w:szCs w:val="24"/>
        </w:rPr>
        <w:t xml:space="preserve"> </w:t>
      </w:r>
    </w:p>
    <w:p w14:paraId="4BB2EE05" w14:textId="2E4AEACA" w:rsidR="0038776A" w:rsidRPr="00180924" w:rsidRDefault="0038776A" w:rsidP="00492AD4">
      <w:pPr>
        <w:ind w:left="4320"/>
      </w:pPr>
    </w:p>
    <w:sectPr w:rsidR="0038776A" w:rsidRPr="00180924" w:rsidSect="00590818">
      <w:footerReference w:type="even" r:id="rId8"/>
      <w:footerReference w:type="default" r:id="rId9"/>
      <w:footerReference w:type="firs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ED077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3595B850" w14:textId="34BFA4E6" w:rsidR="0001199C" w:rsidRDefault="0001199C" w:rsidP="0001199C">
      <w:pPr>
        <w:pStyle w:val="FootnoteText"/>
        <w:spacing w:before="120"/>
        <w:ind w:firstLine="720"/>
      </w:pPr>
      <w:r>
        <w:rPr>
          <w:rStyle w:val="FootnoteReference"/>
        </w:rPr>
        <w:footnoteRef/>
      </w:r>
      <w:r>
        <w:t xml:space="preserve">  Marilee Special Utility District’s Verified Response at </w:t>
      </w:r>
      <w:r w:rsidR="00855CBD">
        <w:t>7</w:t>
      </w:r>
      <w:r>
        <w:t xml:space="preserve"> (Oct. </w:t>
      </w:r>
      <w:proofErr w:type="gramStart"/>
      <w:r w:rsidR="00855CBD">
        <w:t>7</w:t>
      </w:r>
      <w:proofErr w:type="gramEnd"/>
      <w:r>
        <w:t xml:space="preserve"> 2021) (Response).</w:t>
      </w:r>
    </w:p>
  </w:footnote>
  <w:footnote w:id="2">
    <w:p w14:paraId="4BCC987F" w14:textId="77777777" w:rsidR="0001199C" w:rsidRPr="0000385F" w:rsidRDefault="0001199C" w:rsidP="0001199C">
      <w:pPr>
        <w:pStyle w:val="FootnoteText"/>
        <w:spacing w:before="120"/>
        <w:ind w:firstLine="720"/>
      </w:pPr>
      <w:r>
        <w:rPr>
          <w:rStyle w:val="FootnoteReference"/>
        </w:rPr>
        <w:footnoteRef/>
      </w:r>
      <w:r>
        <w:t xml:space="preserve">  </w:t>
      </w:r>
      <w:r w:rsidRPr="00220AC7">
        <w:rPr>
          <w:i/>
          <w:iCs/>
        </w:rPr>
        <w:t xml:space="preserve">Petition of Sterling </w:t>
      </w:r>
      <w:proofErr w:type="spellStart"/>
      <w:r w:rsidRPr="00220AC7">
        <w:rPr>
          <w:i/>
          <w:iCs/>
        </w:rPr>
        <w:t>Deason</w:t>
      </w:r>
      <w:proofErr w:type="spellEnd"/>
      <w:r w:rsidRPr="00220AC7">
        <w:rPr>
          <w:i/>
          <w:iCs/>
        </w:rPr>
        <w:t xml:space="preserve"> O’Donnell and Darwin </w:t>
      </w:r>
      <w:proofErr w:type="spellStart"/>
      <w:r w:rsidRPr="00220AC7">
        <w:rPr>
          <w:i/>
          <w:iCs/>
        </w:rPr>
        <w:t>Deason</w:t>
      </w:r>
      <w:proofErr w:type="spellEnd"/>
      <w:r w:rsidRPr="00220AC7">
        <w:rPr>
          <w:i/>
          <w:iCs/>
        </w:rPr>
        <w:t xml:space="preserve">, Co-Trustees of the Sterling </w:t>
      </w:r>
      <w:proofErr w:type="spellStart"/>
      <w:r w:rsidRPr="00220AC7">
        <w:rPr>
          <w:i/>
          <w:iCs/>
        </w:rPr>
        <w:t>Deason</w:t>
      </w:r>
      <w:proofErr w:type="spellEnd"/>
      <w:r w:rsidRPr="00220AC7">
        <w:rPr>
          <w:i/>
          <w:iCs/>
        </w:rPr>
        <w:t xml:space="preserve"> O’Donnell DD 2012 Trust Under Agreement of the DD 2014-B Grantor Retained Annuity Trust to Amend Marilee Special Utility District’s Certificate of Convenience and Necessity in Collin County by Expedited Release</w:t>
      </w:r>
      <w:r>
        <w:t xml:space="preserve">, Docket No. 50404, Petition at Exhibit A (Jan. 2, 2020); </w:t>
      </w:r>
      <w:r>
        <w:rPr>
          <w:i/>
          <w:iCs/>
        </w:rPr>
        <w:t>Id.</w:t>
      </w:r>
      <w:r>
        <w:t>, Order (Oct. 12, 2021).</w:t>
      </w:r>
    </w:p>
  </w:footnote>
  <w:footnote w:id="3">
    <w:p w14:paraId="2BC5BDF0" w14:textId="77777777" w:rsidR="0001199C" w:rsidRPr="00E50DB8" w:rsidRDefault="0001199C" w:rsidP="0001199C">
      <w:pPr>
        <w:pStyle w:val="FootnoteText"/>
        <w:spacing w:before="120"/>
        <w:ind w:firstLine="720"/>
      </w:pPr>
      <w:r>
        <w:rPr>
          <w:rStyle w:val="FootnoteReference"/>
        </w:rPr>
        <w:footnoteRef/>
      </w:r>
      <w:r>
        <w:t xml:space="preserve">  </w:t>
      </w:r>
      <w:r>
        <w:rPr>
          <w:i/>
          <w:iCs/>
        </w:rPr>
        <w:t>Id.</w:t>
      </w:r>
      <w:r>
        <w:t>, Order at Conclusion of Law No. 9.</w:t>
      </w:r>
    </w:p>
  </w:footnote>
  <w:footnote w:id="4">
    <w:p w14:paraId="5C14717C" w14:textId="77777777" w:rsidR="0001199C" w:rsidRDefault="0001199C" w:rsidP="0001199C">
      <w:pPr>
        <w:pStyle w:val="FootnoteText"/>
        <w:spacing w:before="120"/>
        <w:ind w:firstLine="720"/>
      </w:pPr>
      <w:r>
        <w:rPr>
          <w:rStyle w:val="FootnoteReference"/>
        </w:rPr>
        <w:footnoteRef/>
      </w:r>
      <w:r>
        <w:t xml:space="preserve">  </w:t>
      </w:r>
      <w:r w:rsidRPr="000A1611">
        <w:rPr>
          <w:i/>
          <w:iCs/>
        </w:rPr>
        <w:t>Tex. Gen. Land Office v. Crystal Clear Water Supply Corp.</w:t>
      </w:r>
      <w:r>
        <w:t xml:space="preserve">, 449 S.W.3d.130, 140 (Tex. App.—Austin 2014, pet. denied); </w:t>
      </w:r>
      <w:r w:rsidRPr="000A1611">
        <w:rPr>
          <w:i/>
          <w:iCs/>
        </w:rPr>
        <w:t>Petition of LGI Homes-Texas, LLC to Amend Bolivar Water Supply Corporation</w:t>
      </w:r>
      <w:r>
        <w:rPr>
          <w:i/>
          <w:iCs/>
        </w:rPr>
        <w:t>’</w:t>
      </w:r>
      <w:r w:rsidRPr="000A1611">
        <w:rPr>
          <w:i/>
          <w:iCs/>
        </w:rPr>
        <w:t>s Water Certificate of Convenience and Necessity in Denton County by Expedited Release</w:t>
      </w:r>
      <w:r>
        <w:t xml:space="preserve">, Docket No. 49433, Finding of Fact Nos. 17-18 (Mar. 2, 2020); </w:t>
      </w:r>
      <w:r w:rsidRPr="00E32E3E">
        <w:rPr>
          <w:i/>
          <w:iCs/>
        </w:rPr>
        <w:t>Petition of Frost Bank National Bank as Trustee of the Freeman Educational Foundation to Amend the City of San Marcos</w:t>
      </w:r>
      <w:r>
        <w:rPr>
          <w:i/>
          <w:iCs/>
        </w:rPr>
        <w:t>’</w:t>
      </w:r>
      <w:r w:rsidRPr="00E32E3E">
        <w:rPr>
          <w:i/>
          <w:iCs/>
        </w:rPr>
        <w:t xml:space="preserve"> Water Certificate of Convenience and Necessity in Hays County by Expedited Release</w:t>
      </w:r>
      <w:r>
        <w:t>, Docket No. 49366, Findings of Fact Nos.17-18 (Dec. 13, 2019).</w:t>
      </w:r>
    </w:p>
  </w:footnote>
  <w:footnote w:id="5">
    <w:p w14:paraId="175295F7" w14:textId="77777777" w:rsidR="0001199C" w:rsidRPr="00BE75E7" w:rsidRDefault="0001199C" w:rsidP="0001199C">
      <w:pPr>
        <w:pStyle w:val="FootnoteText"/>
        <w:spacing w:before="120"/>
        <w:ind w:firstLine="720"/>
      </w:pPr>
      <w:r>
        <w:rPr>
          <w:rStyle w:val="FootnoteReference"/>
        </w:rPr>
        <w:footnoteRef/>
      </w:r>
      <w:r>
        <w:t xml:space="preserve">  </w:t>
      </w:r>
      <w:r>
        <w:rPr>
          <w:i/>
          <w:iCs/>
        </w:rPr>
        <w:t>See</w:t>
      </w:r>
      <w:r>
        <w:t xml:space="preserve"> Response at Exhibit B-1.</w:t>
      </w:r>
    </w:p>
  </w:footnote>
  <w:footnote w:id="6">
    <w:p w14:paraId="564FD821" w14:textId="77777777" w:rsidR="0001199C" w:rsidRDefault="0001199C" w:rsidP="0001199C">
      <w:pPr>
        <w:pStyle w:val="FootnoteText"/>
        <w:spacing w:before="120"/>
        <w:ind w:firstLine="720"/>
      </w:pPr>
      <w:r>
        <w:rPr>
          <w:rStyle w:val="FootnoteReference"/>
        </w:rPr>
        <w:footnoteRef/>
      </w:r>
      <w:r>
        <w:t xml:space="preserve">  </w:t>
      </w:r>
      <w:r w:rsidRPr="00E606A1">
        <w:rPr>
          <w:i/>
          <w:iCs/>
        </w:rPr>
        <w:t>Crystal Clear</w:t>
      </w:r>
      <w:r>
        <w:t>, 449 S.W.3d at 140.</w:t>
      </w:r>
    </w:p>
  </w:footnote>
  <w:footnote w:id="7">
    <w:p w14:paraId="50235B0E" w14:textId="77777777" w:rsidR="0001199C" w:rsidRPr="00E606A1" w:rsidRDefault="0001199C" w:rsidP="0001199C">
      <w:pPr>
        <w:pStyle w:val="FootnoteText"/>
        <w:spacing w:before="120"/>
        <w:ind w:firstLine="720"/>
        <w:rPr>
          <w:i/>
          <w:iCs/>
        </w:rPr>
      </w:pPr>
      <w:r>
        <w:rPr>
          <w:rStyle w:val="FootnoteReference"/>
        </w:rPr>
        <w:footnoteRef/>
      </w:r>
      <w:r>
        <w:t xml:space="preserve">  </w:t>
      </w:r>
      <w:r>
        <w:rPr>
          <w:i/>
          <w:iCs/>
        </w:rPr>
        <w:t>Id.</w:t>
      </w:r>
    </w:p>
  </w:footnote>
  <w:footnote w:id="8">
    <w:p w14:paraId="77690598" w14:textId="1AF08561" w:rsidR="0001199C" w:rsidRDefault="0001199C" w:rsidP="0001199C">
      <w:pPr>
        <w:pStyle w:val="FootnoteText"/>
        <w:spacing w:before="120"/>
        <w:ind w:firstLine="720"/>
      </w:pPr>
      <w:r>
        <w:rPr>
          <w:rStyle w:val="FootnoteReference"/>
        </w:rPr>
        <w:footnoteRef/>
      </w:r>
      <w:r>
        <w:t xml:space="preserve">  Response at 1</w:t>
      </w:r>
      <w:r w:rsidR="00BD0063">
        <w:t>1</w:t>
      </w:r>
      <w:r>
        <w:t>.</w:t>
      </w:r>
    </w:p>
  </w:footnote>
  <w:footnote w:id="9">
    <w:p w14:paraId="13088C70" w14:textId="11B4491E" w:rsidR="0001199C" w:rsidRPr="00D30E8F" w:rsidRDefault="0001199C" w:rsidP="0001199C">
      <w:pPr>
        <w:pStyle w:val="FootnoteText"/>
        <w:spacing w:before="120"/>
        <w:ind w:firstLine="720"/>
      </w:pPr>
      <w:r>
        <w:rPr>
          <w:rStyle w:val="FootnoteReference"/>
        </w:rPr>
        <w:footnoteRef/>
      </w:r>
      <w:r>
        <w:t xml:space="preserve">  </w:t>
      </w:r>
      <w:r>
        <w:rPr>
          <w:i/>
          <w:iCs/>
        </w:rPr>
        <w:t>Id.</w:t>
      </w:r>
      <w:r>
        <w:t xml:space="preserve"> at </w:t>
      </w:r>
      <w:r w:rsidR="00BD0063">
        <w:t>11</w:t>
      </w:r>
      <w:r>
        <w:t>.</w:t>
      </w:r>
    </w:p>
  </w:footnote>
  <w:footnote w:id="10">
    <w:p w14:paraId="4A004DAC" w14:textId="77777777" w:rsidR="0001199C" w:rsidRDefault="0001199C" w:rsidP="0001199C">
      <w:pPr>
        <w:pStyle w:val="FootnoteText"/>
        <w:spacing w:before="120"/>
        <w:ind w:firstLine="720"/>
      </w:pPr>
      <w:r>
        <w:rPr>
          <w:rStyle w:val="FootnoteReference"/>
        </w:rPr>
        <w:footnoteRef/>
      </w:r>
      <w:r>
        <w:t xml:space="preserve">  TWC § 13.2541(d).</w:t>
      </w:r>
    </w:p>
  </w:footnote>
  <w:footnote w:id="11">
    <w:p w14:paraId="08B0A70A" w14:textId="77777777" w:rsidR="0001199C" w:rsidRDefault="0001199C" w:rsidP="0001199C">
      <w:pPr>
        <w:pStyle w:val="FootnoteText"/>
        <w:spacing w:before="120"/>
        <w:ind w:firstLine="720"/>
      </w:pPr>
      <w:r>
        <w:rPr>
          <w:rStyle w:val="FootnoteReference"/>
        </w:rPr>
        <w:footnoteRef/>
      </w:r>
      <w:r>
        <w:t xml:space="preserve">  </w:t>
      </w:r>
      <w:r w:rsidRPr="007532A8">
        <w:rPr>
          <w:i/>
          <w:iCs/>
        </w:rPr>
        <w:t>Crystal Clear Special Util. Dist. v. Marquez</w:t>
      </w:r>
      <w:r>
        <w:t xml:space="preserve">, No. 19-50556 (5th Cir. Nov. 6, 2020) (per </w:t>
      </w:r>
      <w:proofErr w:type="spellStart"/>
      <w:r>
        <w:t>curiam</w:t>
      </w:r>
      <w:proofErr w:type="spellEnd"/>
      <w:r>
        <w:t>).</w:t>
      </w:r>
    </w:p>
  </w:footnote>
  <w:footnote w:id="12">
    <w:p w14:paraId="7C04DF27" w14:textId="77777777" w:rsidR="0001199C" w:rsidRDefault="0001199C" w:rsidP="0001199C">
      <w:pPr>
        <w:pStyle w:val="FootnoteText"/>
        <w:spacing w:before="120"/>
        <w:ind w:firstLine="720"/>
      </w:pPr>
      <w:r>
        <w:rPr>
          <w:rStyle w:val="FootnoteReference"/>
        </w:rPr>
        <w:footnoteRef/>
      </w:r>
      <w:r>
        <w:t xml:space="preserve">  </w:t>
      </w:r>
      <w:r w:rsidRPr="003154E3">
        <w:rPr>
          <w:i/>
          <w:iCs/>
        </w:rPr>
        <w:t xml:space="preserve">Green Valley Special Util </w:t>
      </w:r>
      <w:proofErr w:type="spellStart"/>
      <w:r w:rsidRPr="003154E3">
        <w:rPr>
          <w:i/>
          <w:iCs/>
        </w:rPr>
        <w:t>Dist</w:t>
      </w:r>
      <w:proofErr w:type="spellEnd"/>
      <w:r w:rsidRPr="003154E3">
        <w:rPr>
          <w:i/>
          <w:iCs/>
        </w:rPr>
        <w:t xml:space="preserve"> v. City of Schertz</w:t>
      </w:r>
      <w:r>
        <w:t>, 969 F.3d 460, 411 and 478 (5th Cir. Aug. 7, 2020) (</w:t>
      </w:r>
      <w:proofErr w:type="spellStart"/>
      <w:r>
        <w:t>en</w:t>
      </w:r>
      <w:proofErr w:type="spellEnd"/>
      <w:r>
        <w:t xml:space="preserve"> banc).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CE4457"/>
    <w:multiLevelType w:val="hybridMultilevel"/>
    <w:tmpl w:val="1AF45E48"/>
    <w:lvl w:ilvl="0" w:tplc="56347F28">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1F242A5"/>
    <w:multiLevelType w:val="multilevel"/>
    <w:tmpl w:val="5566A570"/>
    <w:lvl w:ilvl="0">
      <w:start w:val="1"/>
      <w:numFmt w:val="upperLetter"/>
      <w:lvlText w:val="%1."/>
      <w:lvlJc w:val="left"/>
      <w:pPr>
        <w:ind w:left="360" w:hanging="360"/>
      </w:pPr>
      <w:rPr>
        <w:rFonts w:hint="default"/>
        <w:b/>
        <w:bCs/>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74E599F"/>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8148276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4"/>
  </w:num>
  <w:num w:numId="3">
    <w:abstractNumId w:val="6"/>
  </w:num>
  <w:num w:numId="4">
    <w:abstractNumId w:val="3"/>
  </w:num>
  <w:num w:numId="5">
    <w:abstractNumId w:val="13"/>
  </w:num>
  <w:num w:numId="6">
    <w:abstractNumId w:val="12"/>
  </w:num>
  <w:num w:numId="7">
    <w:abstractNumId w:val="7"/>
  </w:num>
  <w:num w:numId="8">
    <w:abstractNumId w:val="8"/>
  </w:num>
  <w:num w:numId="9">
    <w:abstractNumId w:val="11"/>
  </w:num>
  <w:num w:numId="10">
    <w:abstractNumId w:val="10"/>
  </w:num>
  <w:num w:numId="11">
    <w:abstractNumId w:val="9"/>
  </w:num>
  <w:num w:numId="12">
    <w:abstractNumId w:val="5"/>
  </w:num>
  <w:num w:numId="13">
    <w:abstractNumId w:val="0"/>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199C"/>
    <w:rsid w:val="0001282A"/>
    <w:rsid w:val="000134BB"/>
    <w:rsid w:val="00015160"/>
    <w:rsid w:val="00022774"/>
    <w:rsid w:val="000233F8"/>
    <w:rsid w:val="00045794"/>
    <w:rsid w:val="000462F9"/>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D7DB1"/>
    <w:rsid w:val="000E26FE"/>
    <w:rsid w:val="000E3C57"/>
    <w:rsid w:val="000E6961"/>
    <w:rsid w:val="000F1B5D"/>
    <w:rsid w:val="000F1F40"/>
    <w:rsid w:val="000F5518"/>
    <w:rsid w:val="000F6BEB"/>
    <w:rsid w:val="000F7F9C"/>
    <w:rsid w:val="00101E9A"/>
    <w:rsid w:val="00104BD4"/>
    <w:rsid w:val="00110057"/>
    <w:rsid w:val="00116991"/>
    <w:rsid w:val="001171A2"/>
    <w:rsid w:val="00122C66"/>
    <w:rsid w:val="00127224"/>
    <w:rsid w:val="00132C88"/>
    <w:rsid w:val="001347B7"/>
    <w:rsid w:val="00134AB9"/>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D26CB"/>
    <w:rsid w:val="001E0547"/>
    <w:rsid w:val="001E1E75"/>
    <w:rsid w:val="001E55D1"/>
    <w:rsid w:val="001E5824"/>
    <w:rsid w:val="001E7F86"/>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61D8"/>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0CA8"/>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D78C0"/>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1328"/>
    <w:rsid w:val="00443332"/>
    <w:rsid w:val="00444FEA"/>
    <w:rsid w:val="004478B0"/>
    <w:rsid w:val="00450C29"/>
    <w:rsid w:val="00451ADC"/>
    <w:rsid w:val="004540A3"/>
    <w:rsid w:val="004540CD"/>
    <w:rsid w:val="00464A13"/>
    <w:rsid w:val="004668FF"/>
    <w:rsid w:val="00466FD6"/>
    <w:rsid w:val="00472755"/>
    <w:rsid w:val="00473325"/>
    <w:rsid w:val="004756AF"/>
    <w:rsid w:val="00483D52"/>
    <w:rsid w:val="00485D02"/>
    <w:rsid w:val="00485D9D"/>
    <w:rsid w:val="00486EB2"/>
    <w:rsid w:val="00490341"/>
    <w:rsid w:val="00490A9A"/>
    <w:rsid w:val="00492AD4"/>
    <w:rsid w:val="00492C92"/>
    <w:rsid w:val="004933EC"/>
    <w:rsid w:val="004A0F11"/>
    <w:rsid w:val="004A25AE"/>
    <w:rsid w:val="004A413A"/>
    <w:rsid w:val="004A4C04"/>
    <w:rsid w:val="004B4A42"/>
    <w:rsid w:val="004C4866"/>
    <w:rsid w:val="004D20DD"/>
    <w:rsid w:val="004D5E0E"/>
    <w:rsid w:val="004E170B"/>
    <w:rsid w:val="004E1C4E"/>
    <w:rsid w:val="004E3A7C"/>
    <w:rsid w:val="004E4207"/>
    <w:rsid w:val="004E5152"/>
    <w:rsid w:val="004E563C"/>
    <w:rsid w:val="004F3113"/>
    <w:rsid w:val="004F5B9F"/>
    <w:rsid w:val="005024E1"/>
    <w:rsid w:val="005055BD"/>
    <w:rsid w:val="00511DED"/>
    <w:rsid w:val="00517C97"/>
    <w:rsid w:val="00535DF6"/>
    <w:rsid w:val="0054012D"/>
    <w:rsid w:val="00545EEE"/>
    <w:rsid w:val="00547811"/>
    <w:rsid w:val="005528A6"/>
    <w:rsid w:val="00553BD2"/>
    <w:rsid w:val="00555E35"/>
    <w:rsid w:val="005617AE"/>
    <w:rsid w:val="00563F37"/>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E00A0"/>
    <w:rsid w:val="005E1E39"/>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B1E"/>
    <w:rsid w:val="006C2E8A"/>
    <w:rsid w:val="006C376D"/>
    <w:rsid w:val="006C54BF"/>
    <w:rsid w:val="006D13DF"/>
    <w:rsid w:val="006D3B00"/>
    <w:rsid w:val="006D7DB2"/>
    <w:rsid w:val="006E1283"/>
    <w:rsid w:val="006E3070"/>
    <w:rsid w:val="006E6D50"/>
    <w:rsid w:val="006E72CB"/>
    <w:rsid w:val="006F3A4D"/>
    <w:rsid w:val="006F3BE8"/>
    <w:rsid w:val="0070195E"/>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636DB"/>
    <w:rsid w:val="00765020"/>
    <w:rsid w:val="00766674"/>
    <w:rsid w:val="00767644"/>
    <w:rsid w:val="007717F6"/>
    <w:rsid w:val="007726C7"/>
    <w:rsid w:val="007805C5"/>
    <w:rsid w:val="00781DFD"/>
    <w:rsid w:val="007824B2"/>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54779"/>
    <w:rsid w:val="00854EC6"/>
    <w:rsid w:val="00855A5A"/>
    <w:rsid w:val="00855CBD"/>
    <w:rsid w:val="00873122"/>
    <w:rsid w:val="0088061E"/>
    <w:rsid w:val="008814ED"/>
    <w:rsid w:val="00885CD1"/>
    <w:rsid w:val="008915EB"/>
    <w:rsid w:val="008947F4"/>
    <w:rsid w:val="008A0CD3"/>
    <w:rsid w:val="008A1776"/>
    <w:rsid w:val="008A3B43"/>
    <w:rsid w:val="008A7F35"/>
    <w:rsid w:val="008B0CAF"/>
    <w:rsid w:val="008B5086"/>
    <w:rsid w:val="008D0224"/>
    <w:rsid w:val="008D3B53"/>
    <w:rsid w:val="008D4CAE"/>
    <w:rsid w:val="008D585A"/>
    <w:rsid w:val="008E4957"/>
    <w:rsid w:val="008E5F5E"/>
    <w:rsid w:val="008E684E"/>
    <w:rsid w:val="008F1B72"/>
    <w:rsid w:val="008F36DB"/>
    <w:rsid w:val="008F439E"/>
    <w:rsid w:val="008F49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0B73"/>
    <w:rsid w:val="009410CB"/>
    <w:rsid w:val="00944CF8"/>
    <w:rsid w:val="00953708"/>
    <w:rsid w:val="00953B7B"/>
    <w:rsid w:val="00960F8F"/>
    <w:rsid w:val="00965618"/>
    <w:rsid w:val="00971254"/>
    <w:rsid w:val="009741CA"/>
    <w:rsid w:val="00975123"/>
    <w:rsid w:val="00975A43"/>
    <w:rsid w:val="00977089"/>
    <w:rsid w:val="00983F1E"/>
    <w:rsid w:val="0098624A"/>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D43ED"/>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621EB"/>
    <w:rsid w:val="00A702F0"/>
    <w:rsid w:val="00A70979"/>
    <w:rsid w:val="00A714E3"/>
    <w:rsid w:val="00A720BC"/>
    <w:rsid w:val="00A747AD"/>
    <w:rsid w:val="00A75CE5"/>
    <w:rsid w:val="00A76DC7"/>
    <w:rsid w:val="00A76E69"/>
    <w:rsid w:val="00A82BFB"/>
    <w:rsid w:val="00A84D11"/>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668DB"/>
    <w:rsid w:val="00B71A98"/>
    <w:rsid w:val="00B801E5"/>
    <w:rsid w:val="00B80D7E"/>
    <w:rsid w:val="00B81F8B"/>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0063"/>
    <w:rsid w:val="00BD1CEC"/>
    <w:rsid w:val="00BD1E4A"/>
    <w:rsid w:val="00BD2203"/>
    <w:rsid w:val="00BD3D7A"/>
    <w:rsid w:val="00BD7411"/>
    <w:rsid w:val="00BE0033"/>
    <w:rsid w:val="00BE3D22"/>
    <w:rsid w:val="00BE64B8"/>
    <w:rsid w:val="00BE6646"/>
    <w:rsid w:val="00BE67F2"/>
    <w:rsid w:val="00BF46D4"/>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4781D"/>
    <w:rsid w:val="00C52FA8"/>
    <w:rsid w:val="00C541E5"/>
    <w:rsid w:val="00C55671"/>
    <w:rsid w:val="00C603C3"/>
    <w:rsid w:val="00C61F66"/>
    <w:rsid w:val="00C64532"/>
    <w:rsid w:val="00C7196E"/>
    <w:rsid w:val="00C72773"/>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02C2"/>
    <w:rsid w:val="00DD14FB"/>
    <w:rsid w:val="00DD3267"/>
    <w:rsid w:val="00DE2E28"/>
    <w:rsid w:val="00DE5974"/>
    <w:rsid w:val="00DF0679"/>
    <w:rsid w:val="00DF49AE"/>
    <w:rsid w:val="00DF60AA"/>
    <w:rsid w:val="00E01327"/>
    <w:rsid w:val="00E04A37"/>
    <w:rsid w:val="00E06CE7"/>
    <w:rsid w:val="00E10C21"/>
    <w:rsid w:val="00E22B2A"/>
    <w:rsid w:val="00E22DA1"/>
    <w:rsid w:val="00E314DE"/>
    <w:rsid w:val="00E32166"/>
    <w:rsid w:val="00E324F4"/>
    <w:rsid w:val="00E35B5D"/>
    <w:rsid w:val="00E363C9"/>
    <w:rsid w:val="00E5280E"/>
    <w:rsid w:val="00E54203"/>
    <w:rsid w:val="00E55B5F"/>
    <w:rsid w:val="00E57EBE"/>
    <w:rsid w:val="00E60E28"/>
    <w:rsid w:val="00E7188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077A"/>
    <w:rsid w:val="00ED3908"/>
    <w:rsid w:val="00ED5BD2"/>
    <w:rsid w:val="00ED705B"/>
    <w:rsid w:val="00EE349A"/>
    <w:rsid w:val="00EE6352"/>
    <w:rsid w:val="00EE6EF1"/>
    <w:rsid w:val="00EF39CA"/>
    <w:rsid w:val="00EF3F05"/>
    <w:rsid w:val="00EF6575"/>
    <w:rsid w:val="00F013C0"/>
    <w:rsid w:val="00F04093"/>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6625"/>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1271</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Chelsey Moser</cp:lastModifiedBy>
  <cp:revision>3</cp:revision>
  <cp:lastPrinted>2017-08-24T13:59:00Z</cp:lastPrinted>
  <dcterms:created xsi:type="dcterms:W3CDTF">2021-10-21T14:45:00Z</dcterms:created>
  <dcterms:modified xsi:type="dcterms:W3CDTF">2021-10-21T15:51:00Z</dcterms:modified>
</cp:coreProperties>
</file>